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jc w:val="right"/>
      </w:pPr>
      <w:r>
        <w:rPr/>
        <w:t>ADOPTED – SEPTEMBER 22,</w:t>
      </w:r>
      <w:r>
        <w:rPr>
          <w:spacing w:val="-9"/>
        </w:rPr>
        <w:t> </w:t>
      </w:r>
      <w:r>
        <w:rPr/>
        <w:t>2026</w:t>
      </w:r>
    </w:p>
    <w:p>
      <w:pPr>
        <w:spacing w:before="0"/>
        <w:ind w:left="0" w:right="98" w:firstLine="0"/>
        <w:jc w:val="right"/>
        <w:rPr>
          <w:b/>
          <w:sz w:val="24"/>
        </w:rPr>
      </w:pPr>
      <w:r>
        <w:rPr>
          <w:b/>
          <w:sz w:val="24"/>
        </w:rPr>
        <w:t>AGENDA ITEM NO.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45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Law &amp; Courts and Finance Committees:</w:t>
      </w:r>
    </w:p>
    <w:p>
      <w:pPr>
        <w:pStyle w:val="BodyText"/>
      </w:pPr>
    </w:p>
    <w:p>
      <w:pPr>
        <w:pStyle w:val="BodyText"/>
        <w:ind w:left="280" w:right="264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left="285" w:right="264"/>
      </w:pPr>
      <w:r>
        <w:rPr/>
        <w:t>RESOLUTION TO APPROVE A MAINTENANCE AGREEMENT BETWEEN INGHAM COUNTY SHERIFF’S OFFICE 9-1-1 CENTER AND INDIGITAL</w:t>
      </w:r>
    </w:p>
    <w:p>
      <w:pPr>
        <w:pStyle w:val="BodyText"/>
        <w:rPr>
          <w:b/>
        </w:rPr>
      </w:pPr>
    </w:p>
    <w:p>
      <w:pPr>
        <w:spacing w:before="0"/>
        <w:ind w:left="283" w:right="264" w:firstLine="0"/>
        <w:jc w:val="center"/>
        <w:rPr>
          <w:b/>
          <w:sz w:val="24"/>
        </w:rPr>
      </w:pPr>
      <w:r>
        <w:rPr>
          <w:b/>
          <w:sz w:val="24"/>
        </w:rPr>
        <w:t>RESOLUTION #26 – 462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ind w:left="120" w:right="922"/>
      </w:pPr>
      <w:r>
        <w:rPr/>
        <w:t>WHEREAS</w:t>
      </w:r>
      <w:r>
        <w:rPr>
          <w:b/>
        </w:rPr>
        <w:t>, </w:t>
      </w:r>
      <w:r>
        <w:rPr/>
        <w:t>Ingham County Sheriff’s Office 9-1-1 Central Dispatch (Sheriff’s Office), is committed to providing timely, effective, and appropriate emergency response services to residents; and</w:t>
      </w:r>
    </w:p>
    <w:p>
      <w:pPr>
        <w:pStyle w:val="BodyText"/>
        <w:spacing w:before="2"/>
      </w:pPr>
    </w:p>
    <w:p>
      <w:pPr>
        <w:pStyle w:val="BodyText"/>
        <w:ind w:left="120" w:right="269"/>
      </w:pPr>
      <w:r>
        <w:rPr/>
        <w:t>WHEREAS</w:t>
      </w:r>
      <w:r>
        <w:rPr>
          <w:b/>
        </w:rPr>
        <w:t>, </w:t>
      </w:r>
      <w:r>
        <w:rPr/>
        <w:t>INdigital is under contract (Resolution #26-261) to replace the current Solacom phone answering system with a Motorola Vesta phone system; and</w:t>
      </w:r>
    </w:p>
    <w:p>
      <w:pPr>
        <w:pStyle w:val="BodyText"/>
        <w:spacing w:before="5"/>
      </w:pPr>
    </w:p>
    <w:p>
      <w:pPr>
        <w:pStyle w:val="BodyText"/>
        <w:ind w:left="119" w:right="116"/>
      </w:pPr>
      <w:r>
        <w:rPr/>
        <w:t>WHEREAS</w:t>
      </w:r>
      <w:r>
        <w:rPr>
          <w:b/>
        </w:rPr>
        <w:t>, </w:t>
      </w:r>
      <w:r>
        <w:rPr/>
        <w:t>the existing Solacom system requires constant monitoring to ensure 9-1-1 calls are being answered efficiently; and</w:t>
      </w:r>
    </w:p>
    <w:p>
      <w:pPr>
        <w:pStyle w:val="BodyText"/>
        <w:spacing w:before="3"/>
      </w:pPr>
    </w:p>
    <w:p>
      <w:pPr>
        <w:pStyle w:val="BodyText"/>
        <w:ind w:left="119"/>
      </w:pPr>
      <w:r>
        <w:rPr/>
        <w:t>WHEREAS</w:t>
      </w:r>
      <w:r>
        <w:rPr>
          <w:b/>
        </w:rPr>
        <w:t>, </w:t>
      </w:r>
      <w:r>
        <w:rPr/>
        <w:t>INdigital has agreed to monitor and service the current system until the new system is in place.</w:t>
      </w:r>
    </w:p>
    <w:p>
      <w:pPr>
        <w:pStyle w:val="BodyText"/>
        <w:spacing w:before="4"/>
      </w:pPr>
    </w:p>
    <w:p>
      <w:pPr>
        <w:pStyle w:val="BodyText"/>
        <w:spacing w:before="1"/>
        <w:ind w:left="119" w:right="290"/>
      </w:pPr>
      <w:r>
        <w:rPr/>
        <w:t>THEREFORE BE IT RESOLVED</w:t>
      </w:r>
      <w:r>
        <w:rPr>
          <w:b/>
        </w:rPr>
        <w:t>, </w:t>
      </w:r>
      <w:r>
        <w:rPr/>
        <w:t>that the Ingham County Board of Commissioners hereby approves the maintenance agreement with INdigital for six (6) months including a monitoring equipment cost not to exceed</w:t>
      </w:r>
    </w:p>
    <w:p>
      <w:pPr>
        <w:pStyle w:val="BodyText"/>
        <w:ind w:left="119"/>
      </w:pPr>
      <w:r>
        <w:rPr/>
        <w:t>$10,661.18 plus any additional service calls billed at an hourly rate not to exceed $180 plus any materials cost.</w:t>
      </w:r>
    </w:p>
    <w:p>
      <w:pPr>
        <w:pStyle w:val="BodyText"/>
        <w:spacing w:before="4"/>
      </w:pPr>
    </w:p>
    <w:p>
      <w:pPr>
        <w:pStyle w:val="BodyText"/>
        <w:ind w:left="119" w:right="282"/>
      </w:pPr>
      <w:r>
        <w:rPr/>
        <w:t>BE IT FURTHER RESOLVED, that the funding is available in the current 9-1-1 budget 261-325.000.818.000 Contractual Services.</w:t>
      </w:r>
    </w:p>
    <w:p>
      <w:pPr>
        <w:pStyle w:val="BodyText"/>
        <w:spacing w:before="3"/>
      </w:pPr>
    </w:p>
    <w:p>
      <w:pPr>
        <w:pStyle w:val="BodyText"/>
        <w:ind w:left="119" w:right="275"/>
      </w:pPr>
      <w:r>
        <w:rPr/>
        <w:t>BE IT FURTHER RESOLVED, that the Chairperson of the Board of Commissioners is authorized to sign any necessary contract/documents on behalf of the County after approval as to form by the County Attorney.</w:t>
      </w:r>
    </w:p>
    <w:p>
      <w:pPr>
        <w:pStyle w:val="BodyText"/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Polsdofer, Willis, Trubac, Peña, Cahill, Lawrence, Johnson</w:t>
      </w:r>
    </w:p>
    <w:p>
      <w:pPr>
        <w:tabs>
          <w:tab w:pos="2231" w:val="left" w:leader="none"/>
          <w:tab w:pos="4123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6"/>
          <w:sz w:val="24"/>
        </w:rPr>
        <w:t> </w:t>
      </w:r>
      <w:r>
        <w:rPr>
          <w:sz w:val="24"/>
        </w:rPr>
        <w:t>Schafer</w:t>
        <w:tab/>
      </w:r>
      <w:r>
        <w:rPr>
          <w:b/>
          <w:sz w:val="24"/>
        </w:rPr>
        <w:t>Approved  09/10/26</w:t>
      </w:r>
    </w:p>
    <w:p>
      <w:pPr>
        <w:pStyle w:val="BodyText"/>
        <w:rPr>
          <w:b/>
        </w:rPr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Tennis, Sebolt, Maiville</w:t>
      </w:r>
    </w:p>
    <w:p>
      <w:pPr>
        <w:tabs>
          <w:tab w:pos="2183" w:val="left" w:leader="none"/>
          <w:tab w:pos="4900" w:val="left" w:leader="none"/>
        </w:tabs>
        <w:spacing w:before="43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7"/>
          <w:sz w:val="24"/>
        </w:rPr>
        <w:t> </w:t>
      </w:r>
      <w:r>
        <w:rPr>
          <w:sz w:val="24"/>
        </w:rPr>
        <w:t>Polsdofer,</w:t>
      </w:r>
      <w:r>
        <w:rPr>
          <w:spacing w:val="-1"/>
          <w:sz w:val="24"/>
        </w:rPr>
        <w:t> </w:t>
      </w:r>
      <w:r>
        <w:rPr>
          <w:sz w:val="24"/>
        </w:rPr>
        <w:t>Pratt</w:t>
        <w:tab/>
      </w:r>
      <w:r>
        <w:rPr>
          <w:b/>
          <w:sz w:val="24"/>
        </w:rPr>
        <w:t>Approved  09/16/26</w:t>
      </w:r>
    </w:p>
    <w:sectPr>
      <w:type w:val="continuous"/>
      <w:pgSz w:w="12240" w:h="15840"/>
      <w:pgMar w:top="136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9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2026-09-23T14:50:35Z</dcterms:created>
  <dcterms:modified xsi:type="dcterms:W3CDTF">2026-09-23T14:50:35Z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2026-09-23T00:00:00Z</vt:filetime>
  </property>
</Properties>
</file>